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209" w:rsidRDefault="00345209" w:rsidP="00E66182">
      <w:pPr>
        <w:pStyle w:val="Sinespaciado"/>
        <w:jc w:val="both"/>
        <w:rPr>
          <w:rFonts w:ascii="Bookman Old Style" w:hAnsi="Bookman Old Style" w:cs="Times New Roman"/>
          <w:i/>
          <w:sz w:val="24"/>
        </w:rPr>
      </w:pPr>
      <w:r w:rsidRPr="00E66182">
        <w:rPr>
          <w:rFonts w:ascii="Bookman Old Style" w:hAnsi="Bookman Old Style" w:cs="Times New Roman"/>
          <w:i/>
          <w:sz w:val="24"/>
        </w:rPr>
        <w:t xml:space="preserve">Tabla 1: </w:t>
      </w:r>
      <w:r w:rsidR="00E66182" w:rsidRPr="00E66182">
        <w:rPr>
          <w:rFonts w:ascii="Bookman Old Style" w:hAnsi="Bookman Old Style" w:cs="Times New Roman"/>
          <w:i/>
          <w:sz w:val="24"/>
        </w:rPr>
        <w:t>Decretos emitidos por el Gobierno del Estado de Yucatán sobre la prohibición de la venta de bebidas alcohólicas (abril a agosto de 2020), durante la contingencia sanitaria por Covid-19.</w:t>
      </w:r>
    </w:p>
    <w:p w:rsidR="00E66182" w:rsidRPr="00E66182" w:rsidRDefault="00E66182" w:rsidP="00E66182">
      <w:pPr>
        <w:pStyle w:val="Sinespaciado"/>
        <w:jc w:val="both"/>
        <w:rPr>
          <w:rFonts w:ascii="Bookman Old Style" w:hAnsi="Bookman Old Style" w:cs="Times New Roman"/>
          <w:i/>
          <w:sz w:val="24"/>
        </w:rPr>
      </w:pPr>
    </w:p>
    <w:p w:rsidR="00E66182" w:rsidRPr="00796C47" w:rsidRDefault="00E66182" w:rsidP="00E66182">
      <w:pPr>
        <w:pStyle w:val="Sinespaciado"/>
        <w:jc w:val="both"/>
        <w:rPr>
          <w:rFonts w:ascii="Bookman Old Style" w:hAnsi="Bookman Old Style" w:cs="Times New Roman"/>
          <w:sz w:val="24"/>
        </w:rPr>
      </w:pPr>
    </w:p>
    <w:tbl>
      <w:tblPr>
        <w:tblStyle w:val="Sombreadoclaro"/>
        <w:tblW w:w="0" w:type="auto"/>
        <w:tblLook w:val="04A0" w:firstRow="1" w:lastRow="0" w:firstColumn="1" w:lastColumn="0" w:noHBand="0" w:noVBand="1"/>
      </w:tblPr>
      <w:tblGrid>
        <w:gridCol w:w="1365"/>
        <w:gridCol w:w="1470"/>
        <w:gridCol w:w="1664"/>
        <w:gridCol w:w="5248"/>
      </w:tblGrid>
      <w:tr w:rsidR="00345209" w:rsidRPr="00E66182" w:rsidTr="0075076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365" w:type="dxa"/>
            <w:vAlign w:val="center"/>
          </w:tcPr>
          <w:p w:rsidR="00345209" w:rsidRPr="00E66182" w:rsidRDefault="00345209" w:rsidP="000B31D7">
            <w:pPr>
              <w:pStyle w:val="Sinespaciado"/>
              <w:spacing w:line="276" w:lineRule="auto"/>
              <w:jc w:val="center"/>
              <w:rPr>
                <w:rFonts w:ascii="Bookman Old Style" w:hAnsi="Bookman Old Style" w:cs="Times New Roman"/>
                <w:sz w:val="20"/>
                <w:szCs w:val="20"/>
              </w:rPr>
            </w:pPr>
            <w:r w:rsidRPr="00E66182">
              <w:rPr>
                <w:rFonts w:ascii="Bookman Old Style" w:hAnsi="Bookman Old Style" w:cs="Times New Roman"/>
                <w:sz w:val="20"/>
                <w:szCs w:val="20"/>
              </w:rPr>
              <w:t>DECRETO</w:t>
            </w:r>
          </w:p>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b w:val="0"/>
                <w:sz w:val="20"/>
                <w:szCs w:val="20"/>
              </w:rPr>
              <w:t>[Fecha]</w:t>
            </w:r>
          </w:p>
        </w:tc>
        <w:tc>
          <w:tcPr>
            <w:tcW w:w="1470" w:type="dxa"/>
            <w:vAlign w:val="center"/>
          </w:tcPr>
          <w:p w:rsidR="00345209" w:rsidRPr="00E66182" w:rsidRDefault="00345209" w:rsidP="000B31D7">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sz w:val="20"/>
                <w:szCs w:val="20"/>
              </w:rPr>
            </w:pPr>
            <w:r w:rsidRPr="00E66182">
              <w:rPr>
                <w:rFonts w:ascii="Bookman Old Style" w:hAnsi="Bookman Old Style" w:cs="Times New Roman"/>
                <w:sz w:val="20"/>
                <w:szCs w:val="20"/>
              </w:rPr>
              <w:t>VIGENCIA</w:t>
            </w:r>
          </w:p>
        </w:tc>
        <w:tc>
          <w:tcPr>
            <w:tcW w:w="1664" w:type="dxa"/>
            <w:vAlign w:val="center"/>
          </w:tcPr>
          <w:p w:rsidR="00345209" w:rsidRPr="00E66182" w:rsidRDefault="00345209" w:rsidP="000B31D7">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sz w:val="20"/>
                <w:szCs w:val="20"/>
              </w:rPr>
            </w:pPr>
            <w:r w:rsidRPr="00E66182">
              <w:rPr>
                <w:rFonts w:ascii="Bookman Old Style" w:hAnsi="Bookman Old Style" w:cs="Times New Roman"/>
                <w:sz w:val="20"/>
                <w:szCs w:val="20"/>
              </w:rPr>
              <w:t>ACCIÓN</w:t>
            </w:r>
          </w:p>
        </w:tc>
        <w:tc>
          <w:tcPr>
            <w:tcW w:w="5248" w:type="dxa"/>
            <w:vAlign w:val="center"/>
          </w:tcPr>
          <w:p w:rsidR="00345209" w:rsidRPr="00E66182" w:rsidRDefault="00345209" w:rsidP="000B31D7">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sz w:val="20"/>
                <w:szCs w:val="20"/>
              </w:rPr>
            </w:pPr>
            <w:r w:rsidRPr="00E66182">
              <w:rPr>
                <w:rFonts w:ascii="Bookman Old Style" w:hAnsi="Bookman Old Style" w:cs="Times New Roman"/>
                <w:sz w:val="20"/>
                <w:szCs w:val="20"/>
              </w:rPr>
              <w:t>ALGUNAS DE SUS CONSIDERACIONES</w:t>
            </w:r>
          </w:p>
        </w:tc>
      </w:tr>
      <w:tr w:rsidR="00345209" w:rsidRPr="00E66182" w:rsidTr="00750769">
        <w:trPr>
          <w:cnfStyle w:val="000000100000" w:firstRow="0" w:lastRow="0" w:firstColumn="0" w:lastColumn="0" w:oddVBand="0" w:evenVBand="0" w:oddHBand="1" w:evenHBand="0" w:firstRowFirstColumn="0" w:firstRowLastColumn="0" w:lastRowFirstColumn="0" w:lastRowLastColumn="0"/>
          <w:trHeight w:val="1231"/>
        </w:trPr>
        <w:tc>
          <w:tcPr>
            <w:cnfStyle w:val="001000000000" w:firstRow="0" w:lastRow="0" w:firstColumn="1" w:lastColumn="0" w:oddVBand="0" w:evenVBand="0" w:oddHBand="0" w:evenHBand="0" w:firstRowFirstColumn="0" w:firstRowLastColumn="0" w:lastRowFirstColumn="0" w:lastRowLastColumn="0"/>
            <w:tcW w:w="1365" w:type="dxa"/>
            <w:vAlign w:val="center"/>
          </w:tcPr>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sz w:val="20"/>
                <w:szCs w:val="20"/>
              </w:rPr>
              <w:t>208/2020</w:t>
            </w:r>
          </w:p>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b w:val="0"/>
                <w:sz w:val="20"/>
                <w:szCs w:val="20"/>
              </w:rPr>
              <w:t>[09 abril]</w:t>
            </w:r>
          </w:p>
        </w:tc>
        <w:tc>
          <w:tcPr>
            <w:tcW w:w="1470" w:type="dxa"/>
            <w:vAlign w:val="center"/>
          </w:tcPr>
          <w:p w:rsidR="00345209" w:rsidRPr="00E66182" w:rsidRDefault="00345209" w:rsidP="000B31D7">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sz w:val="20"/>
                <w:szCs w:val="20"/>
              </w:rPr>
              <w:t>Del 10 al 30 de abril.</w:t>
            </w:r>
          </w:p>
        </w:tc>
        <w:tc>
          <w:tcPr>
            <w:tcW w:w="1664" w:type="dxa"/>
            <w:vAlign w:val="center"/>
          </w:tcPr>
          <w:p w:rsidR="00345209" w:rsidRPr="00E66182" w:rsidRDefault="00345209" w:rsidP="000B31D7">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b/>
                <w:sz w:val="20"/>
                <w:szCs w:val="20"/>
              </w:rPr>
              <w:t>Prohibición</w:t>
            </w:r>
            <w:r w:rsidRPr="00E66182">
              <w:rPr>
                <w:rFonts w:ascii="Bookman Old Style" w:hAnsi="Bookman Old Style" w:cs="Times New Roman"/>
                <w:sz w:val="20"/>
                <w:szCs w:val="20"/>
              </w:rPr>
              <w:t xml:space="preserve"> en todo el Estado.</w:t>
            </w:r>
          </w:p>
        </w:tc>
        <w:tc>
          <w:tcPr>
            <w:tcW w:w="5248" w:type="dxa"/>
            <w:vAlign w:val="center"/>
          </w:tcPr>
          <w:p w:rsidR="00345209" w:rsidRPr="00E66182" w:rsidRDefault="00750769" w:rsidP="00750769">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Pr>
                <w:rFonts w:ascii="Bookman Old Style" w:hAnsi="Bookman Old Style" w:cs="Times New Roman"/>
                <w:sz w:val="20"/>
                <w:szCs w:val="20"/>
              </w:rPr>
              <w:t>El d</w:t>
            </w:r>
            <w:r w:rsidR="00345209" w:rsidRPr="00E66182">
              <w:rPr>
                <w:rFonts w:ascii="Bookman Old Style" w:hAnsi="Bookman Old Style" w:cs="Times New Roman"/>
                <w:sz w:val="20"/>
                <w:szCs w:val="20"/>
              </w:rPr>
              <w:t>erecho y protección de la salud en México; la declaración de la pandemia por SARS-Cov-2 (Covid-19); la suspensión de actividades no esenciales desde el 30/marzo; el aumento de casos de violencia en Yucatán.</w:t>
            </w:r>
          </w:p>
        </w:tc>
      </w:tr>
      <w:tr w:rsidR="00345209" w:rsidRPr="00E66182" w:rsidTr="00750769">
        <w:trPr>
          <w:trHeight w:val="825"/>
        </w:trPr>
        <w:tc>
          <w:tcPr>
            <w:cnfStyle w:val="001000000000" w:firstRow="0" w:lastRow="0" w:firstColumn="1" w:lastColumn="0" w:oddVBand="0" w:evenVBand="0" w:oddHBand="0" w:evenHBand="0" w:firstRowFirstColumn="0" w:firstRowLastColumn="0" w:lastRowFirstColumn="0" w:lastRowLastColumn="0"/>
            <w:tcW w:w="1365" w:type="dxa"/>
            <w:vAlign w:val="center"/>
          </w:tcPr>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sz w:val="20"/>
                <w:szCs w:val="20"/>
              </w:rPr>
              <w:t>213/2020</w:t>
            </w:r>
          </w:p>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b w:val="0"/>
                <w:sz w:val="20"/>
                <w:szCs w:val="20"/>
              </w:rPr>
              <w:t>[29 abril]</w:t>
            </w:r>
          </w:p>
        </w:tc>
        <w:tc>
          <w:tcPr>
            <w:tcW w:w="1470" w:type="dxa"/>
            <w:vAlign w:val="center"/>
          </w:tcPr>
          <w:p w:rsidR="00345209" w:rsidRPr="00E66182" w:rsidRDefault="00345209" w:rsidP="000B31D7">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sz w:val="20"/>
                <w:szCs w:val="20"/>
              </w:rPr>
              <w:t>Se extiende al 15 de mayo.</w:t>
            </w:r>
          </w:p>
        </w:tc>
        <w:tc>
          <w:tcPr>
            <w:tcW w:w="1664" w:type="dxa"/>
            <w:vAlign w:val="center"/>
          </w:tcPr>
          <w:p w:rsidR="00345209" w:rsidRPr="00E66182" w:rsidRDefault="00345209" w:rsidP="000B31D7">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sz w:val="20"/>
                <w:szCs w:val="20"/>
              </w:rPr>
              <w:t>Extensión</w:t>
            </w:r>
            <w:r w:rsidRPr="00E66182">
              <w:rPr>
                <w:rFonts w:ascii="Bookman Old Style" w:hAnsi="Bookman Old Style" w:cs="Times New Roman"/>
                <w:b/>
                <w:sz w:val="20"/>
                <w:szCs w:val="20"/>
              </w:rPr>
              <w:t xml:space="preserve"> </w:t>
            </w:r>
            <w:r w:rsidRPr="00E66182">
              <w:rPr>
                <w:rFonts w:ascii="Bookman Old Style" w:hAnsi="Bookman Old Style" w:cs="Times New Roman"/>
                <w:sz w:val="20"/>
                <w:szCs w:val="20"/>
              </w:rPr>
              <w:t xml:space="preserve">de la </w:t>
            </w:r>
            <w:r w:rsidRPr="00E66182">
              <w:rPr>
                <w:rFonts w:ascii="Bookman Old Style" w:hAnsi="Bookman Old Style" w:cs="Times New Roman"/>
                <w:b/>
                <w:sz w:val="20"/>
                <w:szCs w:val="20"/>
              </w:rPr>
              <w:t>prohibición.</w:t>
            </w:r>
          </w:p>
        </w:tc>
        <w:tc>
          <w:tcPr>
            <w:tcW w:w="5248" w:type="dxa"/>
            <w:vAlign w:val="center"/>
          </w:tcPr>
          <w:p w:rsidR="00345209" w:rsidRPr="00E66182" w:rsidRDefault="00750769" w:rsidP="00750769">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Pr>
                <w:rFonts w:ascii="Bookman Old Style" w:hAnsi="Bookman Old Style" w:cs="Times New Roman"/>
                <w:sz w:val="20"/>
                <w:szCs w:val="20"/>
              </w:rPr>
              <w:t>E</w:t>
            </w:r>
            <w:r w:rsidR="00345209" w:rsidRPr="00E66182">
              <w:rPr>
                <w:rFonts w:ascii="Bookman Old Style" w:hAnsi="Bookman Old Style" w:cs="Times New Roman"/>
                <w:sz w:val="20"/>
                <w:szCs w:val="20"/>
              </w:rPr>
              <w:t>l 21/abril el Gobierno federal declaró Fase 3 en todo el país; que estatalmente los contagios y fallecimientos por Covid-19 han aumentado.</w:t>
            </w:r>
          </w:p>
        </w:tc>
      </w:tr>
      <w:tr w:rsidR="00345209" w:rsidRPr="00E66182" w:rsidTr="00750769">
        <w:trPr>
          <w:cnfStyle w:val="000000100000" w:firstRow="0" w:lastRow="0" w:firstColumn="0" w:lastColumn="0" w:oddVBand="0" w:evenVBand="0" w:oddHBand="1"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1365" w:type="dxa"/>
            <w:vAlign w:val="center"/>
          </w:tcPr>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sz w:val="20"/>
                <w:szCs w:val="20"/>
              </w:rPr>
              <w:t>217/2020</w:t>
            </w:r>
          </w:p>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b w:val="0"/>
                <w:sz w:val="20"/>
                <w:szCs w:val="20"/>
              </w:rPr>
              <w:t>[14 mayo]</w:t>
            </w:r>
          </w:p>
        </w:tc>
        <w:tc>
          <w:tcPr>
            <w:tcW w:w="1470" w:type="dxa"/>
            <w:vAlign w:val="center"/>
          </w:tcPr>
          <w:p w:rsidR="00345209" w:rsidRPr="00E66182" w:rsidRDefault="00345209" w:rsidP="000B31D7">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sz w:val="20"/>
                <w:szCs w:val="20"/>
              </w:rPr>
              <w:t>Se extiende al 31 de mayo.</w:t>
            </w:r>
          </w:p>
        </w:tc>
        <w:tc>
          <w:tcPr>
            <w:tcW w:w="1664" w:type="dxa"/>
            <w:vAlign w:val="center"/>
          </w:tcPr>
          <w:p w:rsidR="00345209" w:rsidRPr="00E66182" w:rsidRDefault="00345209" w:rsidP="000B31D7">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sz w:val="20"/>
                <w:szCs w:val="20"/>
              </w:rPr>
              <w:t>Extensión</w:t>
            </w:r>
            <w:r w:rsidRPr="00E66182">
              <w:rPr>
                <w:rFonts w:ascii="Bookman Old Style" w:hAnsi="Bookman Old Style" w:cs="Times New Roman"/>
                <w:b/>
                <w:sz w:val="20"/>
                <w:szCs w:val="20"/>
              </w:rPr>
              <w:t xml:space="preserve"> </w:t>
            </w:r>
            <w:r w:rsidRPr="00E66182">
              <w:rPr>
                <w:rFonts w:ascii="Bookman Old Style" w:hAnsi="Bookman Old Style" w:cs="Times New Roman"/>
                <w:sz w:val="20"/>
                <w:szCs w:val="20"/>
              </w:rPr>
              <w:t xml:space="preserve">de la </w:t>
            </w:r>
            <w:r w:rsidRPr="00E66182">
              <w:rPr>
                <w:rFonts w:ascii="Bookman Old Style" w:hAnsi="Bookman Old Style" w:cs="Times New Roman"/>
                <w:b/>
                <w:sz w:val="20"/>
                <w:szCs w:val="20"/>
              </w:rPr>
              <w:t>prohibición.</w:t>
            </w:r>
          </w:p>
        </w:tc>
        <w:tc>
          <w:tcPr>
            <w:tcW w:w="5248" w:type="dxa"/>
            <w:vAlign w:val="center"/>
          </w:tcPr>
          <w:p w:rsidR="00345209" w:rsidRPr="00E66182" w:rsidRDefault="00750769" w:rsidP="000B31D7">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Pr>
                <w:rFonts w:ascii="Bookman Old Style" w:hAnsi="Bookman Old Style" w:cs="Times New Roman"/>
                <w:sz w:val="20"/>
                <w:szCs w:val="20"/>
              </w:rPr>
              <w:t>E</w:t>
            </w:r>
            <w:r w:rsidR="00345209" w:rsidRPr="00E66182">
              <w:rPr>
                <w:rFonts w:ascii="Bookman Old Style" w:hAnsi="Bookman Old Style" w:cs="Times New Roman"/>
                <w:sz w:val="20"/>
                <w:szCs w:val="20"/>
              </w:rPr>
              <w:t xml:space="preserve">l 13/mayo Yucatán ocupaba la posición 6 a nivel nacional de casos confirmados activos; y que las cifras estatales </w:t>
            </w:r>
            <w:r>
              <w:rPr>
                <w:rFonts w:ascii="Bookman Old Style" w:hAnsi="Bookman Old Style" w:cs="Times New Roman"/>
                <w:sz w:val="20"/>
                <w:szCs w:val="20"/>
              </w:rPr>
              <w:t>si</w:t>
            </w:r>
            <w:r w:rsidR="00345209" w:rsidRPr="00E66182">
              <w:rPr>
                <w:rFonts w:ascii="Bookman Old Style" w:hAnsi="Bookman Old Style" w:cs="Times New Roman"/>
                <w:sz w:val="20"/>
                <w:szCs w:val="20"/>
              </w:rPr>
              <w:t>guen en aumento.</w:t>
            </w:r>
          </w:p>
        </w:tc>
      </w:tr>
      <w:tr w:rsidR="00345209" w:rsidRPr="00E66182" w:rsidTr="00750769">
        <w:trPr>
          <w:trHeight w:val="2281"/>
        </w:trPr>
        <w:tc>
          <w:tcPr>
            <w:cnfStyle w:val="001000000000" w:firstRow="0" w:lastRow="0" w:firstColumn="1" w:lastColumn="0" w:oddVBand="0" w:evenVBand="0" w:oddHBand="0" w:evenHBand="0" w:firstRowFirstColumn="0" w:firstRowLastColumn="0" w:lastRowFirstColumn="0" w:lastRowLastColumn="0"/>
            <w:tcW w:w="1365" w:type="dxa"/>
            <w:vAlign w:val="center"/>
          </w:tcPr>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sz w:val="20"/>
                <w:szCs w:val="20"/>
              </w:rPr>
              <w:t>226/2020</w:t>
            </w:r>
          </w:p>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b w:val="0"/>
                <w:sz w:val="20"/>
                <w:szCs w:val="20"/>
              </w:rPr>
              <w:t>[30 mayo]</w:t>
            </w:r>
          </w:p>
        </w:tc>
        <w:tc>
          <w:tcPr>
            <w:tcW w:w="1470" w:type="dxa"/>
            <w:vAlign w:val="center"/>
          </w:tcPr>
          <w:p w:rsidR="00345209" w:rsidRPr="00E66182" w:rsidRDefault="00345209" w:rsidP="000B31D7">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sz w:val="20"/>
                <w:szCs w:val="20"/>
              </w:rPr>
              <w:t>Del 01 al 10 de junio.</w:t>
            </w:r>
          </w:p>
        </w:tc>
        <w:tc>
          <w:tcPr>
            <w:tcW w:w="1664" w:type="dxa"/>
            <w:vAlign w:val="center"/>
          </w:tcPr>
          <w:p w:rsidR="00345209" w:rsidRPr="00E66182" w:rsidRDefault="00345209" w:rsidP="000B31D7">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b/>
                <w:sz w:val="20"/>
                <w:szCs w:val="20"/>
              </w:rPr>
              <w:t xml:space="preserve">Prohibición </w:t>
            </w:r>
            <w:r w:rsidRPr="00E66182">
              <w:rPr>
                <w:rFonts w:ascii="Bookman Old Style" w:hAnsi="Bookman Old Style" w:cs="Times New Roman"/>
                <w:sz w:val="20"/>
                <w:szCs w:val="20"/>
              </w:rPr>
              <w:t>parcial</w:t>
            </w:r>
            <w:r w:rsidRPr="00E66182">
              <w:rPr>
                <w:rFonts w:ascii="Bookman Old Style" w:hAnsi="Bookman Old Style" w:cs="Times New Roman"/>
                <w:b/>
                <w:sz w:val="20"/>
                <w:szCs w:val="20"/>
              </w:rPr>
              <w:t xml:space="preserve"> </w:t>
            </w:r>
            <w:r w:rsidRPr="00E66182">
              <w:rPr>
                <w:rFonts w:ascii="Bookman Old Style" w:hAnsi="Bookman Old Style" w:cs="Times New Roman"/>
                <w:sz w:val="20"/>
                <w:szCs w:val="20"/>
              </w:rPr>
              <w:t>y</w:t>
            </w:r>
            <w:r w:rsidRPr="00E66182">
              <w:rPr>
                <w:rFonts w:ascii="Bookman Old Style" w:hAnsi="Bookman Old Style" w:cs="Times New Roman"/>
                <w:b/>
                <w:sz w:val="20"/>
                <w:szCs w:val="20"/>
              </w:rPr>
              <w:t xml:space="preserve"> reactivación</w:t>
            </w:r>
            <w:r w:rsidRPr="00E66182">
              <w:rPr>
                <w:rFonts w:ascii="Bookman Old Style" w:hAnsi="Bookman Old Style" w:cs="Times New Roman"/>
                <w:sz w:val="20"/>
                <w:szCs w:val="20"/>
              </w:rPr>
              <w:t xml:space="preserve"> paulatina.</w:t>
            </w:r>
          </w:p>
        </w:tc>
        <w:tc>
          <w:tcPr>
            <w:tcW w:w="5248" w:type="dxa"/>
            <w:vAlign w:val="center"/>
          </w:tcPr>
          <w:p w:rsidR="00345209" w:rsidRPr="00E66182" w:rsidRDefault="00750769" w:rsidP="000E3E2F">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Pr>
                <w:rFonts w:ascii="Bookman Old Style" w:hAnsi="Bookman Old Style" w:cs="Times New Roman"/>
                <w:sz w:val="20"/>
                <w:szCs w:val="20"/>
              </w:rPr>
              <w:t>N</w:t>
            </w:r>
            <w:r w:rsidR="00345209" w:rsidRPr="00E66182">
              <w:rPr>
                <w:rFonts w:ascii="Bookman Old Style" w:hAnsi="Bookman Old Style" w:cs="Times New Roman"/>
                <w:sz w:val="20"/>
                <w:szCs w:val="20"/>
              </w:rPr>
              <w:t xml:space="preserve">ecesidad de limitar la movilidad, concentración y aglomeración </w:t>
            </w:r>
            <w:r>
              <w:rPr>
                <w:rFonts w:ascii="Bookman Old Style" w:hAnsi="Bookman Old Style" w:cs="Times New Roman"/>
                <w:sz w:val="20"/>
                <w:szCs w:val="20"/>
              </w:rPr>
              <w:t>de personas.</w:t>
            </w:r>
            <w:r w:rsidR="000E3E2F">
              <w:rPr>
                <w:rFonts w:ascii="Bookman Old Style" w:hAnsi="Bookman Old Style" w:cs="Times New Roman"/>
                <w:sz w:val="20"/>
                <w:szCs w:val="20"/>
              </w:rPr>
              <w:t xml:space="preserve"> </w:t>
            </w:r>
            <w:r>
              <w:rPr>
                <w:rFonts w:ascii="Bookman Old Style" w:hAnsi="Bookman Old Style" w:cs="Times New Roman"/>
                <w:sz w:val="20"/>
                <w:szCs w:val="20"/>
              </w:rPr>
              <w:t>S</w:t>
            </w:r>
            <w:r w:rsidR="00345209" w:rsidRPr="00E66182">
              <w:rPr>
                <w:rFonts w:ascii="Bookman Old Style" w:hAnsi="Bookman Old Style" w:cs="Times New Roman"/>
                <w:sz w:val="20"/>
                <w:szCs w:val="20"/>
              </w:rPr>
              <w:t>e mantiene la prohibición en establecimientos que expendan para consumo en el mismo lugar</w:t>
            </w:r>
            <w:r w:rsidR="000E3E2F">
              <w:rPr>
                <w:rFonts w:ascii="Bookman Old Style" w:hAnsi="Bookman Old Style" w:cs="Times New Roman"/>
                <w:sz w:val="20"/>
                <w:szCs w:val="20"/>
              </w:rPr>
              <w:t xml:space="preserve"> y </w:t>
            </w:r>
            <w:r w:rsidR="00345209" w:rsidRPr="00E66182">
              <w:rPr>
                <w:rFonts w:ascii="Bookman Old Style" w:hAnsi="Bookman Old Style" w:cs="Times New Roman"/>
                <w:sz w:val="20"/>
                <w:szCs w:val="20"/>
              </w:rPr>
              <w:t>se reactiva la venta en establecimientos que expendan para consumo en otro lugar, pero sujetas a disposiciones de modalidad (servicio a domicilio), horario (habitual: lunes a sábado de 10 a 22 hrs, domingo de 11 a 17 hrs) y cantidad</w:t>
            </w:r>
            <w:r w:rsidR="00345209" w:rsidRPr="00E66182">
              <w:rPr>
                <w:rStyle w:val="Refdenotaalpie"/>
                <w:rFonts w:ascii="Bookman Old Style" w:hAnsi="Bookman Old Style" w:cs="Times New Roman"/>
                <w:sz w:val="20"/>
                <w:szCs w:val="20"/>
              </w:rPr>
              <w:footnoteReference w:id="1"/>
            </w:r>
            <w:r w:rsidR="00345209" w:rsidRPr="00E66182">
              <w:rPr>
                <w:rFonts w:ascii="Bookman Old Style" w:hAnsi="Bookman Old Style" w:cs="Times New Roman"/>
                <w:sz w:val="20"/>
                <w:szCs w:val="20"/>
              </w:rPr>
              <w:t>.</w:t>
            </w:r>
          </w:p>
        </w:tc>
      </w:tr>
      <w:tr w:rsidR="00345209" w:rsidRPr="00E66182" w:rsidTr="0047269D">
        <w:trPr>
          <w:cnfStyle w:val="000000100000" w:firstRow="0" w:lastRow="0" w:firstColumn="0" w:lastColumn="0" w:oddVBand="0" w:evenVBand="0" w:oddHBand="1" w:evenHBand="0" w:firstRowFirstColumn="0" w:firstRowLastColumn="0" w:lastRowFirstColumn="0" w:lastRowLastColumn="0"/>
          <w:trHeight w:val="2388"/>
        </w:trPr>
        <w:tc>
          <w:tcPr>
            <w:cnfStyle w:val="001000000000" w:firstRow="0" w:lastRow="0" w:firstColumn="1" w:lastColumn="0" w:oddVBand="0" w:evenVBand="0" w:oddHBand="0" w:evenHBand="0" w:firstRowFirstColumn="0" w:firstRowLastColumn="0" w:lastRowFirstColumn="0" w:lastRowLastColumn="0"/>
            <w:tcW w:w="1365" w:type="dxa"/>
            <w:vAlign w:val="center"/>
          </w:tcPr>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sz w:val="20"/>
                <w:szCs w:val="20"/>
              </w:rPr>
              <w:t>239/2020</w:t>
            </w:r>
          </w:p>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b w:val="0"/>
                <w:sz w:val="20"/>
                <w:szCs w:val="20"/>
              </w:rPr>
              <w:t>[09 junio]</w:t>
            </w:r>
          </w:p>
        </w:tc>
        <w:tc>
          <w:tcPr>
            <w:tcW w:w="1470" w:type="dxa"/>
            <w:vAlign w:val="center"/>
          </w:tcPr>
          <w:p w:rsidR="00345209" w:rsidRPr="00E66182" w:rsidRDefault="00345209" w:rsidP="000B31D7">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sz w:val="20"/>
                <w:szCs w:val="20"/>
              </w:rPr>
              <w:t>Del 11 al 17 de junio.</w:t>
            </w:r>
          </w:p>
        </w:tc>
        <w:tc>
          <w:tcPr>
            <w:tcW w:w="1664" w:type="dxa"/>
            <w:vAlign w:val="center"/>
          </w:tcPr>
          <w:p w:rsidR="00345209" w:rsidRPr="00E66182" w:rsidRDefault="00345209" w:rsidP="000B31D7">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b/>
                <w:sz w:val="20"/>
                <w:szCs w:val="20"/>
              </w:rPr>
              <w:t xml:space="preserve">Prohibición </w:t>
            </w:r>
            <w:r w:rsidRPr="00E66182">
              <w:rPr>
                <w:rFonts w:ascii="Bookman Old Style" w:hAnsi="Bookman Old Style" w:cs="Times New Roman"/>
                <w:sz w:val="20"/>
                <w:szCs w:val="20"/>
              </w:rPr>
              <w:t>parcial</w:t>
            </w:r>
            <w:r w:rsidRPr="00E66182">
              <w:rPr>
                <w:rFonts w:ascii="Bookman Old Style" w:hAnsi="Bookman Old Style" w:cs="Times New Roman"/>
                <w:b/>
                <w:sz w:val="20"/>
                <w:szCs w:val="20"/>
              </w:rPr>
              <w:t xml:space="preserve"> </w:t>
            </w:r>
            <w:r w:rsidRPr="00E66182">
              <w:rPr>
                <w:rFonts w:ascii="Bookman Old Style" w:hAnsi="Bookman Old Style" w:cs="Times New Roman"/>
                <w:sz w:val="20"/>
                <w:szCs w:val="20"/>
              </w:rPr>
              <w:t>y</w:t>
            </w:r>
            <w:r w:rsidRPr="00E66182">
              <w:rPr>
                <w:rFonts w:ascii="Bookman Old Style" w:hAnsi="Bookman Old Style" w:cs="Times New Roman"/>
                <w:b/>
                <w:sz w:val="20"/>
                <w:szCs w:val="20"/>
              </w:rPr>
              <w:t xml:space="preserve"> reactivación</w:t>
            </w:r>
            <w:r w:rsidRPr="00E66182">
              <w:rPr>
                <w:rFonts w:ascii="Bookman Old Style" w:hAnsi="Bookman Old Style" w:cs="Times New Roman"/>
                <w:sz w:val="20"/>
                <w:szCs w:val="20"/>
              </w:rPr>
              <w:t xml:space="preserve"> paulatina.</w:t>
            </w:r>
          </w:p>
        </w:tc>
        <w:tc>
          <w:tcPr>
            <w:tcW w:w="5248" w:type="dxa"/>
            <w:vAlign w:val="center"/>
          </w:tcPr>
          <w:p w:rsidR="00345209" w:rsidRPr="00E66182" w:rsidRDefault="0047269D" w:rsidP="0047269D">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Pr>
                <w:rFonts w:ascii="Bookman Old Style" w:hAnsi="Bookman Old Style" w:cs="Times New Roman"/>
                <w:sz w:val="20"/>
                <w:szCs w:val="20"/>
              </w:rPr>
              <w:t>E</w:t>
            </w:r>
            <w:r w:rsidR="00345209" w:rsidRPr="00E66182">
              <w:rPr>
                <w:rFonts w:ascii="Bookman Old Style" w:hAnsi="Bookman Old Style" w:cs="Times New Roman"/>
                <w:sz w:val="20"/>
                <w:szCs w:val="20"/>
              </w:rPr>
              <w:t>l Gobierno del Estado considera necesario reactivar paulatinamente la venta de alcohol para la recuperación económica</w:t>
            </w:r>
            <w:r>
              <w:rPr>
                <w:rFonts w:ascii="Bookman Old Style" w:hAnsi="Bookman Old Style" w:cs="Times New Roman"/>
                <w:sz w:val="20"/>
                <w:szCs w:val="20"/>
              </w:rPr>
              <w:t xml:space="preserve">, y evitar las </w:t>
            </w:r>
            <w:r w:rsidR="00345209" w:rsidRPr="00E66182">
              <w:rPr>
                <w:rFonts w:ascii="Bookman Old Style" w:hAnsi="Bookman Old Style" w:cs="Times New Roman"/>
                <w:sz w:val="20"/>
                <w:szCs w:val="20"/>
              </w:rPr>
              <w:t xml:space="preserve">concentraciones </w:t>
            </w:r>
            <w:r>
              <w:rPr>
                <w:rFonts w:ascii="Bookman Old Style" w:hAnsi="Bookman Old Style" w:cs="Times New Roman"/>
                <w:sz w:val="20"/>
                <w:szCs w:val="20"/>
              </w:rPr>
              <w:t>de personas</w:t>
            </w:r>
            <w:r w:rsidR="00345209" w:rsidRPr="00E66182">
              <w:rPr>
                <w:rFonts w:ascii="Bookman Old Style" w:hAnsi="Bookman Old Style" w:cs="Times New Roman"/>
                <w:sz w:val="20"/>
                <w:szCs w:val="20"/>
              </w:rPr>
              <w:t xml:space="preserve">. </w:t>
            </w:r>
            <w:r>
              <w:rPr>
                <w:rFonts w:ascii="Bookman Old Style" w:hAnsi="Bookman Old Style" w:cs="Times New Roman"/>
                <w:sz w:val="20"/>
                <w:szCs w:val="20"/>
              </w:rPr>
              <w:t>S</w:t>
            </w:r>
            <w:r w:rsidR="00345209" w:rsidRPr="00E66182">
              <w:rPr>
                <w:rFonts w:ascii="Bookman Old Style" w:hAnsi="Bookman Old Style" w:cs="Times New Roman"/>
                <w:sz w:val="20"/>
                <w:szCs w:val="20"/>
              </w:rPr>
              <w:t>e mantiene la prohibición donde se expendan estas bebidas par</w:t>
            </w:r>
            <w:r>
              <w:rPr>
                <w:rFonts w:ascii="Bookman Old Style" w:hAnsi="Bookman Old Style" w:cs="Times New Roman"/>
                <w:sz w:val="20"/>
                <w:szCs w:val="20"/>
              </w:rPr>
              <w:t xml:space="preserve">a su consumo en el mismo lugar; </w:t>
            </w:r>
            <w:r w:rsidR="00345209" w:rsidRPr="00E66182">
              <w:rPr>
                <w:rFonts w:ascii="Bookman Old Style" w:hAnsi="Bookman Old Style" w:cs="Times New Roman"/>
                <w:sz w:val="20"/>
                <w:szCs w:val="20"/>
              </w:rPr>
              <w:t>se permite en establecimientos que vendan para consumo en otr</w:t>
            </w:r>
            <w:r>
              <w:rPr>
                <w:rFonts w:ascii="Bookman Old Style" w:hAnsi="Bookman Old Style" w:cs="Times New Roman"/>
                <w:sz w:val="20"/>
                <w:szCs w:val="20"/>
              </w:rPr>
              <w:t>o lugar (mismas disposiciones que decreto anterior)</w:t>
            </w:r>
            <w:r w:rsidR="00345209" w:rsidRPr="00E66182">
              <w:rPr>
                <w:rFonts w:ascii="Bookman Old Style" w:hAnsi="Bookman Old Style" w:cs="Times New Roman"/>
                <w:sz w:val="20"/>
                <w:szCs w:val="20"/>
              </w:rPr>
              <w:t xml:space="preserve">.  </w:t>
            </w:r>
          </w:p>
        </w:tc>
      </w:tr>
      <w:tr w:rsidR="00345209" w:rsidRPr="00E66182" w:rsidTr="00750769">
        <w:trPr>
          <w:trHeight w:val="1262"/>
        </w:trPr>
        <w:tc>
          <w:tcPr>
            <w:cnfStyle w:val="001000000000" w:firstRow="0" w:lastRow="0" w:firstColumn="1" w:lastColumn="0" w:oddVBand="0" w:evenVBand="0" w:oddHBand="0" w:evenHBand="0" w:firstRowFirstColumn="0" w:firstRowLastColumn="0" w:lastRowFirstColumn="0" w:lastRowLastColumn="0"/>
            <w:tcW w:w="1365" w:type="dxa"/>
            <w:vAlign w:val="center"/>
          </w:tcPr>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sz w:val="20"/>
                <w:szCs w:val="20"/>
              </w:rPr>
              <w:t>240/2020</w:t>
            </w:r>
          </w:p>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b w:val="0"/>
                <w:sz w:val="20"/>
                <w:szCs w:val="20"/>
              </w:rPr>
              <w:t>[16 junio]</w:t>
            </w:r>
          </w:p>
        </w:tc>
        <w:tc>
          <w:tcPr>
            <w:tcW w:w="1470" w:type="dxa"/>
            <w:vAlign w:val="center"/>
          </w:tcPr>
          <w:p w:rsidR="00345209" w:rsidRPr="00E66182" w:rsidRDefault="00345209" w:rsidP="000B31D7">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sz w:val="20"/>
                <w:szCs w:val="20"/>
              </w:rPr>
              <w:t>Del 16 al 28 de junio.</w:t>
            </w:r>
            <w:r w:rsidRPr="00E66182">
              <w:rPr>
                <w:rStyle w:val="Refdenotaalpie"/>
                <w:rFonts w:ascii="Bookman Old Style" w:hAnsi="Bookman Old Style" w:cs="Times New Roman"/>
                <w:sz w:val="20"/>
                <w:szCs w:val="20"/>
              </w:rPr>
              <w:footnoteReference w:id="2"/>
            </w:r>
          </w:p>
        </w:tc>
        <w:tc>
          <w:tcPr>
            <w:tcW w:w="1664" w:type="dxa"/>
            <w:vAlign w:val="center"/>
          </w:tcPr>
          <w:p w:rsidR="00345209" w:rsidRPr="00E66182" w:rsidRDefault="00345209" w:rsidP="000B31D7">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b/>
                <w:sz w:val="20"/>
                <w:szCs w:val="20"/>
              </w:rPr>
              <w:t xml:space="preserve">Prohibición </w:t>
            </w:r>
            <w:r w:rsidRPr="00E66182">
              <w:rPr>
                <w:rFonts w:ascii="Bookman Old Style" w:hAnsi="Bookman Old Style" w:cs="Times New Roman"/>
                <w:sz w:val="20"/>
                <w:szCs w:val="20"/>
              </w:rPr>
              <w:t>parcial</w:t>
            </w:r>
            <w:r w:rsidRPr="00E66182">
              <w:rPr>
                <w:rFonts w:ascii="Bookman Old Style" w:hAnsi="Bookman Old Style" w:cs="Times New Roman"/>
                <w:b/>
                <w:sz w:val="20"/>
                <w:szCs w:val="20"/>
              </w:rPr>
              <w:t xml:space="preserve"> </w:t>
            </w:r>
            <w:r w:rsidRPr="00E66182">
              <w:rPr>
                <w:rFonts w:ascii="Bookman Old Style" w:hAnsi="Bookman Old Style" w:cs="Times New Roman"/>
                <w:sz w:val="20"/>
                <w:szCs w:val="20"/>
              </w:rPr>
              <w:t>y</w:t>
            </w:r>
            <w:r w:rsidRPr="00E66182">
              <w:rPr>
                <w:rFonts w:ascii="Bookman Old Style" w:hAnsi="Bookman Old Style" w:cs="Times New Roman"/>
                <w:b/>
                <w:sz w:val="20"/>
                <w:szCs w:val="20"/>
              </w:rPr>
              <w:t xml:space="preserve"> reactivación</w:t>
            </w:r>
            <w:r w:rsidRPr="00E66182">
              <w:rPr>
                <w:rFonts w:ascii="Bookman Old Style" w:hAnsi="Bookman Old Style" w:cs="Times New Roman"/>
                <w:sz w:val="20"/>
                <w:szCs w:val="20"/>
              </w:rPr>
              <w:t xml:space="preserve"> paulatina.</w:t>
            </w:r>
          </w:p>
        </w:tc>
        <w:tc>
          <w:tcPr>
            <w:tcW w:w="5248" w:type="dxa"/>
            <w:vAlign w:val="center"/>
          </w:tcPr>
          <w:p w:rsidR="00345209" w:rsidRPr="00E66182" w:rsidRDefault="00345209" w:rsidP="0047269D">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sz w:val="20"/>
                <w:szCs w:val="20"/>
              </w:rPr>
              <w:t>El Gobierno del estado considera necesario ampliar el periodo de vigencia de las acciones extraordinarias dispuestas en el Decreto 226/2020 (ya modificado por el Decreto 239/2020), para la recuperación econó</w:t>
            </w:r>
            <w:r w:rsidR="0047269D">
              <w:rPr>
                <w:rFonts w:ascii="Bookman Old Style" w:hAnsi="Bookman Old Style" w:cs="Times New Roman"/>
                <w:sz w:val="20"/>
                <w:szCs w:val="20"/>
              </w:rPr>
              <w:t xml:space="preserve">mica de la entidad, pero sin la </w:t>
            </w:r>
            <w:r w:rsidRPr="00E66182">
              <w:rPr>
                <w:rFonts w:ascii="Bookman Old Style" w:hAnsi="Bookman Old Style" w:cs="Times New Roman"/>
                <w:sz w:val="20"/>
                <w:szCs w:val="20"/>
              </w:rPr>
              <w:t>laxitud de las medidas sanitarias.</w:t>
            </w:r>
          </w:p>
        </w:tc>
      </w:tr>
      <w:tr w:rsidR="00345209" w:rsidRPr="00E66182" w:rsidTr="0047269D">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365" w:type="dxa"/>
            <w:vAlign w:val="center"/>
          </w:tcPr>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sz w:val="20"/>
                <w:szCs w:val="20"/>
              </w:rPr>
              <w:lastRenderedPageBreak/>
              <w:t>252/2020</w:t>
            </w:r>
          </w:p>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b w:val="0"/>
                <w:sz w:val="20"/>
                <w:szCs w:val="20"/>
              </w:rPr>
              <w:t>[14 julio]</w:t>
            </w:r>
          </w:p>
        </w:tc>
        <w:tc>
          <w:tcPr>
            <w:tcW w:w="1470" w:type="dxa"/>
            <w:vAlign w:val="center"/>
          </w:tcPr>
          <w:p w:rsidR="00345209" w:rsidRPr="00E66182" w:rsidRDefault="00345209" w:rsidP="000B31D7">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sz w:val="20"/>
                <w:szCs w:val="20"/>
              </w:rPr>
              <w:t>Del 14 de julio al 15 de agosto.</w:t>
            </w:r>
          </w:p>
        </w:tc>
        <w:tc>
          <w:tcPr>
            <w:tcW w:w="1664" w:type="dxa"/>
            <w:vAlign w:val="center"/>
          </w:tcPr>
          <w:p w:rsidR="00345209" w:rsidRPr="00E66182" w:rsidRDefault="00345209" w:rsidP="000B31D7">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b/>
                <w:sz w:val="20"/>
                <w:szCs w:val="20"/>
              </w:rPr>
              <w:t xml:space="preserve">Prohibición </w:t>
            </w:r>
            <w:r w:rsidRPr="00E66182">
              <w:rPr>
                <w:rFonts w:ascii="Bookman Old Style" w:hAnsi="Bookman Old Style" w:cs="Times New Roman"/>
                <w:sz w:val="20"/>
                <w:szCs w:val="20"/>
              </w:rPr>
              <w:t>(nuevamente) en todo el Estado.</w:t>
            </w:r>
          </w:p>
        </w:tc>
        <w:tc>
          <w:tcPr>
            <w:tcW w:w="5248" w:type="dxa"/>
            <w:vAlign w:val="center"/>
          </w:tcPr>
          <w:p w:rsidR="00345209" w:rsidRPr="00E66182" w:rsidRDefault="0047269D" w:rsidP="0047269D">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Pr>
                <w:rFonts w:ascii="Bookman Old Style" w:hAnsi="Bookman Old Style" w:cs="Times New Roman"/>
                <w:sz w:val="20"/>
                <w:szCs w:val="20"/>
              </w:rPr>
              <w:t>E</w:t>
            </w:r>
            <w:r w:rsidR="00345209" w:rsidRPr="00E66182">
              <w:rPr>
                <w:rFonts w:ascii="Bookman Old Style" w:hAnsi="Bookman Old Style" w:cs="Times New Roman"/>
                <w:sz w:val="20"/>
                <w:szCs w:val="20"/>
              </w:rPr>
              <w:t>n los últimos días se ha presentado un repunte en el número de personas contagiadas de Covid-19, comprometiendo la disponibilidad hospitalaria.</w:t>
            </w:r>
          </w:p>
        </w:tc>
      </w:tr>
      <w:tr w:rsidR="00345209" w:rsidRPr="00E66182" w:rsidTr="00750769">
        <w:trPr>
          <w:trHeight w:val="2254"/>
        </w:trPr>
        <w:tc>
          <w:tcPr>
            <w:cnfStyle w:val="001000000000" w:firstRow="0" w:lastRow="0" w:firstColumn="1" w:lastColumn="0" w:oddVBand="0" w:evenVBand="0" w:oddHBand="0" w:evenHBand="0" w:firstRowFirstColumn="0" w:firstRowLastColumn="0" w:lastRowFirstColumn="0" w:lastRowLastColumn="0"/>
            <w:tcW w:w="1365" w:type="dxa"/>
            <w:vAlign w:val="center"/>
          </w:tcPr>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sz w:val="20"/>
                <w:szCs w:val="20"/>
              </w:rPr>
              <w:t>273/2020</w:t>
            </w:r>
          </w:p>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b w:val="0"/>
                <w:sz w:val="20"/>
                <w:szCs w:val="20"/>
              </w:rPr>
              <w:t>[15 agosto]</w:t>
            </w:r>
          </w:p>
        </w:tc>
        <w:tc>
          <w:tcPr>
            <w:tcW w:w="1470" w:type="dxa"/>
            <w:vAlign w:val="center"/>
          </w:tcPr>
          <w:p w:rsidR="00345209" w:rsidRPr="00E66182" w:rsidRDefault="00345209" w:rsidP="000B31D7">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sz w:val="20"/>
                <w:szCs w:val="20"/>
              </w:rPr>
              <w:t>Del 14 de agosto al 16 de septiembre.</w:t>
            </w:r>
          </w:p>
        </w:tc>
        <w:tc>
          <w:tcPr>
            <w:tcW w:w="1664" w:type="dxa"/>
            <w:vAlign w:val="center"/>
          </w:tcPr>
          <w:p w:rsidR="00345209" w:rsidRPr="00E66182" w:rsidRDefault="00345209" w:rsidP="000B31D7">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sz w:val="20"/>
                <w:szCs w:val="20"/>
              </w:rPr>
              <w:t>Extensión</w:t>
            </w:r>
            <w:r w:rsidRPr="00E66182">
              <w:rPr>
                <w:rFonts w:ascii="Bookman Old Style" w:hAnsi="Bookman Old Style" w:cs="Times New Roman"/>
                <w:b/>
                <w:sz w:val="20"/>
                <w:szCs w:val="20"/>
              </w:rPr>
              <w:t xml:space="preserve"> </w:t>
            </w:r>
            <w:r w:rsidRPr="00E66182">
              <w:rPr>
                <w:rFonts w:ascii="Bookman Old Style" w:hAnsi="Bookman Old Style" w:cs="Times New Roman"/>
                <w:sz w:val="20"/>
                <w:szCs w:val="20"/>
              </w:rPr>
              <w:t xml:space="preserve">de la </w:t>
            </w:r>
            <w:r w:rsidRPr="00E66182">
              <w:rPr>
                <w:rFonts w:ascii="Bookman Old Style" w:hAnsi="Bookman Old Style" w:cs="Times New Roman"/>
                <w:b/>
                <w:sz w:val="20"/>
                <w:szCs w:val="20"/>
              </w:rPr>
              <w:t>prohibición.</w:t>
            </w:r>
          </w:p>
        </w:tc>
        <w:tc>
          <w:tcPr>
            <w:tcW w:w="5248" w:type="dxa"/>
            <w:vAlign w:val="center"/>
          </w:tcPr>
          <w:p w:rsidR="00345209" w:rsidRPr="00E66182" w:rsidRDefault="0047269D" w:rsidP="0047269D">
            <w:pPr>
              <w:pStyle w:val="Sinespaciado"/>
              <w:spacing w:line="276"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sz w:val="20"/>
                <w:szCs w:val="20"/>
              </w:rPr>
            </w:pPr>
            <w:r>
              <w:rPr>
                <w:rFonts w:ascii="Bookman Old Style" w:hAnsi="Bookman Old Style" w:cs="Times New Roman"/>
                <w:sz w:val="20"/>
                <w:szCs w:val="20"/>
              </w:rPr>
              <w:t>E</w:t>
            </w:r>
            <w:r w:rsidR="00345209" w:rsidRPr="00E66182">
              <w:rPr>
                <w:rFonts w:ascii="Bookman Old Style" w:hAnsi="Bookman Old Style" w:cs="Times New Roman"/>
                <w:sz w:val="20"/>
                <w:szCs w:val="20"/>
              </w:rPr>
              <w:t>n las últimas semanas, como resultado de las medidas implementadas y de la colaboración de la comunidad, se han logrado ciertos avances en la contención del Covid-19 en Yucatán, pero que persisten condiciones que ameritan la continuación y el reforzamiento de tales medidas</w:t>
            </w:r>
            <w:r>
              <w:rPr>
                <w:rFonts w:ascii="Bookman Old Style" w:hAnsi="Bookman Old Style" w:cs="Times New Roman"/>
                <w:sz w:val="20"/>
                <w:szCs w:val="20"/>
              </w:rPr>
              <w:t xml:space="preserve">, por lo que la vigencia de la prohibición se amplían </w:t>
            </w:r>
            <w:r w:rsidR="00345209" w:rsidRPr="00E66182">
              <w:rPr>
                <w:rFonts w:ascii="Bookman Old Style" w:hAnsi="Bookman Old Style" w:cs="Times New Roman"/>
                <w:sz w:val="20"/>
                <w:szCs w:val="20"/>
              </w:rPr>
              <w:t>hasta el 16 de septiembre de 2020</w:t>
            </w:r>
            <w:r>
              <w:rPr>
                <w:rFonts w:ascii="Bookman Old Style" w:hAnsi="Bookman Old Style" w:cs="Times New Roman"/>
                <w:sz w:val="20"/>
                <w:szCs w:val="20"/>
              </w:rPr>
              <w:t>.</w:t>
            </w:r>
          </w:p>
        </w:tc>
      </w:tr>
      <w:tr w:rsidR="00345209" w:rsidRPr="00E66182" w:rsidTr="00750769">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1365" w:type="dxa"/>
            <w:vAlign w:val="center"/>
          </w:tcPr>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sz w:val="20"/>
                <w:szCs w:val="20"/>
              </w:rPr>
              <w:t>275/2020</w:t>
            </w:r>
          </w:p>
          <w:p w:rsidR="00345209" w:rsidRPr="00E66182" w:rsidRDefault="00345209" w:rsidP="000B31D7">
            <w:pPr>
              <w:pStyle w:val="Sinespaciado"/>
              <w:spacing w:line="276" w:lineRule="auto"/>
              <w:jc w:val="center"/>
              <w:rPr>
                <w:rFonts w:ascii="Bookman Old Style" w:hAnsi="Bookman Old Style" w:cs="Times New Roman"/>
                <w:b w:val="0"/>
                <w:sz w:val="20"/>
                <w:szCs w:val="20"/>
              </w:rPr>
            </w:pPr>
            <w:r w:rsidRPr="00E66182">
              <w:rPr>
                <w:rFonts w:ascii="Bookman Old Style" w:hAnsi="Bookman Old Style" w:cs="Times New Roman"/>
                <w:b w:val="0"/>
                <w:sz w:val="20"/>
                <w:szCs w:val="20"/>
              </w:rPr>
              <w:t>[29 agosto]</w:t>
            </w:r>
          </w:p>
        </w:tc>
        <w:tc>
          <w:tcPr>
            <w:tcW w:w="1470" w:type="dxa"/>
            <w:vAlign w:val="center"/>
          </w:tcPr>
          <w:p w:rsidR="00345209" w:rsidRPr="00E66182" w:rsidRDefault="00345209" w:rsidP="000B31D7">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sz w:val="20"/>
                <w:szCs w:val="20"/>
              </w:rPr>
              <w:t>A partir del 01 de septiembre.</w:t>
            </w:r>
          </w:p>
        </w:tc>
        <w:tc>
          <w:tcPr>
            <w:tcW w:w="1664" w:type="dxa"/>
            <w:vAlign w:val="center"/>
          </w:tcPr>
          <w:p w:rsidR="00345209" w:rsidRPr="00E66182" w:rsidRDefault="00345209" w:rsidP="000B31D7">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sidRPr="00E66182">
              <w:rPr>
                <w:rFonts w:ascii="Bookman Old Style" w:hAnsi="Bookman Old Style" w:cs="Times New Roman"/>
                <w:b/>
                <w:sz w:val="20"/>
                <w:szCs w:val="20"/>
              </w:rPr>
              <w:t xml:space="preserve">Prohibición </w:t>
            </w:r>
            <w:r w:rsidRPr="00E66182">
              <w:rPr>
                <w:rFonts w:ascii="Bookman Old Style" w:hAnsi="Bookman Old Style" w:cs="Times New Roman"/>
                <w:sz w:val="20"/>
                <w:szCs w:val="20"/>
              </w:rPr>
              <w:t>parcial</w:t>
            </w:r>
            <w:r w:rsidRPr="00E66182">
              <w:rPr>
                <w:rFonts w:ascii="Bookman Old Style" w:hAnsi="Bookman Old Style" w:cs="Times New Roman"/>
                <w:b/>
                <w:sz w:val="20"/>
                <w:szCs w:val="20"/>
              </w:rPr>
              <w:t xml:space="preserve"> </w:t>
            </w:r>
            <w:r w:rsidRPr="00E66182">
              <w:rPr>
                <w:rFonts w:ascii="Bookman Old Style" w:hAnsi="Bookman Old Style" w:cs="Times New Roman"/>
                <w:sz w:val="20"/>
                <w:szCs w:val="20"/>
              </w:rPr>
              <w:t>y</w:t>
            </w:r>
            <w:r w:rsidRPr="00E66182">
              <w:rPr>
                <w:rFonts w:ascii="Bookman Old Style" w:hAnsi="Bookman Old Style" w:cs="Times New Roman"/>
                <w:b/>
                <w:sz w:val="20"/>
                <w:szCs w:val="20"/>
              </w:rPr>
              <w:t xml:space="preserve"> reactivación</w:t>
            </w:r>
            <w:r w:rsidRPr="00E66182">
              <w:rPr>
                <w:rFonts w:ascii="Bookman Old Style" w:hAnsi="Bookman Old Style" w:cs="Times New Roman"/>
                <w:sz w:val="20"/>
                <w:szCs w:val="20"/>
              </w:rPr>
              <w:t xml:space="preserve"> paulatina.</w:t>
            </w:r>
          </w:p>
        </w:tc>
        <w:tc>
          <w:tcPr>
            <w:tcW w:w="5248" w:type="dxa"/>
            <w:vAlign w:val="center"/>
          </w:tcPr>
          <w:p w:rsidR="00345209" w:rsidRPr="00E66182" w:rsidRDefault="006E2094" w:rsidP="006E2094">
            <w:pPr>
              <w:pStyle w:val="Sinespaciado"/>
              <w:spacing w:line="276"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sz w:val="20"/>
                <w:szCs w:val="20"/>
              </w:rPr>
            </w:pPr>
            <w:r>
              <w:rPr>
                <w:rFonts w:ascii="Bookman Old Style" w:hAnsi="Bookman Old Style" w:cs="Times New Roman"/>
                <w:sz w:val="20"/>
                <w:szCs w:val="20"/>
              </w:rPr>
              <w:t xml:space="preserve">Que en las últimas semanas </w:t>
            </w:r>
            <w:r w:rsidR="00345209" w:rsidRPr="00E66182">
              <w:rPr>
                <w:rFonts w:ascii="Bookman Old Style" w:hAnsi="Bookman Old Style" w:cs="Times New Roman"/>
                <w:sz w:val="20"/>
                <w:szCs w:val="20"/>
              </w:rPr>
              <w:t xml:space="preserve">se han logrado avances en la contención del Covid-19, </w:t>
            </w:r>
            <w:r>
              <w:rPr>
                <w:rFonts w:ascii="Bookman Old Style" w:hAnsi="Bookman Old Style" w:cs="Times New Roman"/>
                <w:sz w:val="20"/>
                <w:szCs w:val="20"/>
              </w:rPr>
              <w:t xml:space="preserve">pero </w:t>
            </w:r>
            <w:r w:rsidR="00345209" w:rsidRPr="00E66182">
              <w:rPr>
                <w:rFonts w:ascii="Bookman Old Style" w:hAnsi="Bookman Old Style" w:cs="Times New Roman"/>
                <w:sz w:val="20"/>
                <w:szCs w:val="20"/>
              </w:rPr>
              <w:t xml:space="preserve">persisten condiciones que ameritan la implementación de medidas </w:t>
            </w:r>
            <w:r>
              <w:rPr>
                <w:rFonts w:ascii="Bookman Old Style" w:hAnsi="Bookman Old Style" w:cs="Times New Roman"/>
                <w:sz w:val="20"/>
                <w:szCs w:val="20"/>
              </w:rPr>
              <w:t xml:space="preserve">sanitarias que eviten aglomeraciones, </w:t>
            </w:r>
            <w:r w:rsidR="00345209" w:rsidRPr="00E66182">
              <w:rPr>
                <w:rFonts w:ascii="Bookman Old Style" w:hAnsi="Bookman Old Style" w:cs="Times New Roman"/>
                <w:sz w:val="20"/>
                <w:szCs w:val="20"/>
              </w:rPr>
              <w:t xml:space="preserve">al mismo tiempo </w:t>
            </w:r>
            <w:r>
              <w:rPr>
                <w:rFonts w:ascii="Bookman Old Style" w:hAnsi="Bookman Old Style" w:cs="Times New Roman"/>
                <w:sz w:val="20"/>
                <w:szCs w:val="20"/>
              </w:rPr>
              <w:t xml:space="preserve">que </w:t>
            </w:r>
            <w:r w:rsidR="00345209" w:rsidRPr="00E66182">
              <w:rPr>
                <w:rFonts w:ascii="Bookman Old Style" w:hAnsi="Bookman Old Style" w:cs="Times New Roman"/>
                <w:sz w:val="20"/>
                <w:szCs w:val="20"/>
              </w:rPr>
              <w:t>permitan la reactivación económica</w:t>
            </w:r>
            <w:r>
              <w:rPr>
                <w:rFonts w:ascii="Bookman Old Style" w:hAnsi="Bookman Old Style" w:cs="Times New Roman"/>
                <w:sz w:val="20"/>
                <w:szCs w:val="20"/>
              </w:rPr>
              <w:t xml:space="preserve">. Se permite </w:t>
            </w:r>
            <w:r w:rsidR="00345209" w:rsidRPr="00E66182">
              <w:rPr>
                <w:rFonts w:ascii="Bookman Old Style" w:hAnsi="Bookman Old Style" w:cs="Times New Roman"/>
                <w:sz w:val="20"/>
                <w:szCs w:val="20"/>
              </w:rPr>
              <w:t xml:space="preserve">la venta a domicilio (diligencieros) para establecimientos que expendan para consumo en otro lugar, </w:t>
            </w:r>
            <w:r>
              <w:rPr>
                <w:rFonts w:ascii="Bookman Old Style" w:hAnsi="Bookman Old Style" w:cs="Times New Roman"/>
                <w:sz w:val="20"/>
                <w:szCs w:val="20"/>
              </w:rPr>
              <w:t xml:space="preserve">de L a J </w:t>
            </w:r>
            <w:r w:rsidR="00345209" w:rsidRPr="00E66182">
              <w:rPr>
                <w:rFonts w:ascii="Bookman Old Style" w:hAnsi="Bookman Old Style" w:cs="Times New Roman"/>
                <w:sz w:val="20"/>
                <w:szCs w:val="20"/>
              </w:rPr>
              <w:t xml:space="preserve">de 10 a 22 hrs, de 10 a 18hrs </w:t>
            </w:r>
            <w:r>
              <w:rPr>
                <w:rFonts w:ascii="Bookman Old Style" w:hAnsi="Bookman Old Style" w:cs="Times New Roman"/>
                <w:sz w:val="20"/>
                <w:szCs w:val="20"/>
              </w:rPr>
              <w:t xml:space="preserve">los V y S, y de </w:t>
            </w:r>
            <w:r w:rsidR="00345209" w:rsidRPr="00E66182">
              <w:rPr>
                <w:rFonts w:ascii="Bookman Old Style" w:hAnsi="Bookman Old Style" w:cs="Times New Roman"/>
                <w:sz w:val="20"/>
                <w:szCs w:val="20"/>
              </w:rPr>
              <w:t xml:space="preserve">11 a 17 hrs los </w:t>
            </w:r>
            <w:r>
              <w:rPr>
                <w:rFonts w:ascii="Bookman Old Style" w:hAnsi="Bookman Old Style" w:cs="Times New Roman"/>
                <w:sz w:val="20"/>
                <w:szCs w:val="20"/>
              </w:rPr>
              <w:t xml:space="preserve">D, </w:t>
            </w:r>
            <w:r w:rsidR="00345209" w:rsidRPr="00E66182">
              <w:rPr>
                <w:rFonts w:ascii="Bookman Old Style" w:hAnsi="Bookman Old Style" w:cs="Times New Roman"/>
                <w:sz w:val="20"/>
                <w:szCs w:val="20"/>
              </w:rPr>
              <w:t>con cantidad máxima por persona o domicilio (misma que la establecida el 30/mayo), y con las mismas condiciones de entrega y recepción; c) se permite la venta y consumo solo en restaurantes de lujo, restaurantes y pizzerías, siempre que su reapertura esté considerada en la ola de reactivación económica y sig</w:t>
            </w:r>
            <w:r>
              <w:rPr>
                <w:rFonts w:ascii="Bookman Old Style" w:hAnsi="Bookman Old Style" w:cs="Times New Roman"/>
                <w:sz w:val="20"/>
                <w:szCs w:val="20"/>
              </w:rPr>
              <w:t>uiendo las medidas de seguridad</w:t>
            </w:r>
            <w:r w:rsidR="00345209" w:rsidRPr="00E66182">
              <w:rPr>
                <w:rFonts w:ascii="Bookman Old Style" w:hAnsi="Bookman Old Style" w:cs="Times New Roman"/>
                <w:sz w:val="20"/>
                <w:szCs w:val="20"/>
              </w:rPr>
              <w:t xml:space="preserve">, en horario de 12 a 22 hrs de </w:t>
            </w:r>
            <w:r>
              <w:rPr>
                <w:rFonts w:ascii="Bookman Old Style" w:hAnsi="Bookman Old Style" w:cs="Times New Roman"/>
                <w:sz w:val="20"/>
                <w:szCs w:val="20"/>
              </w:rPr>
              <w:t>L a J</w:t>
            </w:r>
            <w:bookmarkStart w:id="0" w:name="_GoBack"/>
            <w:bookmarkEnd w:id="0"/>
            <w:r>
              <w:rPr>
                <w:rFonts w:ascii="Bookman Old Style" w:hAnsi="Bookman Old Style" w:cs="Times New Roman"/>
                <w:sz w:val="20"/>
                <w:szCs w:val="20"/>
              </w:rPr>
              <w:t xml:space="preserve">, </w:t>
            </w:r>
            <w:r w:rsidR="00345209" w:rsidRPr="00E66182">
              <w:rPr>
                <w:rFonts w:ascii="Bookman Old Style" w:hAnsi="Bookman Old Style" w:cs="Times New Roman"/>
                <w:sz w:val="20"/>
                <w:szCs w:val="20"/>
              </w:rPr>
              <w:t xml:space="preserve">y de 12 a 18hrs de </w:t>
            </w:r>
            <w:r>
              <w:rPr>
                <w:rFonts w:ascii="Bookman Old Style" w:hAnsi="Bookman Old Style" w:cs="Times New Roman"/>
                <w:sz w:val="20"/>
                <w:szCs w:val="20"/>
              </w:rPr>
              <w:t>V a D</w:t>
            </w:r>
            <w:r w:rsidR="00345209" w:rsidRPr="00E66182">
              <w:rPr>
                <w:rFonts w:ascii="Bookman Old Style" w:hAnsi="Bookman Old Style" w:cs="Times New Roman"/>
                <w:sz w:val="20"/>
                <w:szCs w:val="20"/>
              </w:rPr>
              <w:t xml:space="preserve">.  </w:t>
            </w:r>
          </w:p>
        </w:tc>
      </w:tr>
    </w:tbl>
    <w:p w:rsidR="00345209" w:rsidRPr="00796C47" w:rsidRDefault="00345209" w:rsidP="00345209">
      <w:pPr>
        <w:pStyle w:val="Prrafodelista"/>
        <w:rPr>
          <w:rFonts w:ascii="Bookman Old Style" w:hAnsi="Bookman Old Style"/>
        </w:rPr>
      </w:pPr>
    </w:p>
    <w:p w:rsidR="00345209" w:rsidRPr="00796C47" w:rsidRDefault="00345209" w:rsidP="00345209">
      <w:pPr>
        <w:pStyle w:val="Sinespaciado"/>
        <w:rPr>
          <w:rFonts w:ascii="Bookman Old Style" w:hAnsi="Bookman Old Style" w:cs="Times New Roman"/>
          <w:sz w:val="20"/>
        </w:rPr>
      </w:pPr>
      <w:r w:rsidRPr="00796C47">
        <w:rPr>
          <w:rFonts w:ascii="Bookman Old Style" w:hAnsi="Bookman Old Style" w:cs="Times New Roman"/>
          <w:sz w:val="20"/>
        </w:rPr>
        <w:t>Fuente: elaboración propia.</w:t>
      </w:r>
    </w:p>
    <w:p w:rsidR="00345209" w:rsidRDefault="00345209" w:rsidP="00345209">
      <w:pPr>
        <w:pStyle w:val="Sinespaciado"/>
        <w:rPr>
          <w:rFonts w:ascii="Bookman Old Style" w:hAnsi="Bookman Old Style" w:cs="Times New Roman"/>
          <w:sz w:val="20"/>
        </w:rPr>
      </w:pPr>
    </w:p>
    <w:p w:rsidR="00345209" w:rsidRPr="00796C47" w:rsidRDefault="00345209" w:rsidP="00345209">
      <w:pPr>
        <w:pStyle w:val="Sinespaciado"/>
        <w:rPr>
          <w:rFonts w:ascii="Bookman Old Style" w:hAnsi="Bookman Old Style" w:cs="Times New Roman"/>
          <w:sz w:val="20"/>
        </w:rPr>
      </w:pPr>
      <w:r w:rsidRPr="00796C47">
        <w:rPr>
          <w:rFonts w:ascii="Bookman Old Style" w:hAnsi="Bookman Old Style" w:cs="Times New Roman"/>
          <w:sz w:val="20"/>
        </w:rPr>
        <w:t xml:space="preserve">Información obtenida del Diario Oficial del Gobierno del Estado de </w:t>
      </w:r>
      <w:r>
        <w:rPr>
          <w:rFonts w:ascii="Bookman Old Style" w:hAnsi="Bookman Old Style" w:cs="Times New Roman"/>
          <w:sz w:val="20"/>
        </w:rPr>
        <w:t xml:space="preserve">Yucatán </w:t>
      </w:r>
      <w:r w:rsidRPr="00796C47">
        <w:rPr>
          <w:rFonts w:ascii="Bookman Old Style" w:hAnsi="Bookman Old Style" w:cs="Times New Roman"/>
          <w:sz w:val="20"/>
        </w:rPr>
        <w:t>(</w:t>
      </w:r>
      <w:hyperlink r:id="rId8" w:history="1">
        <w:r w:rsidRPr="00796C47">
          <w:rPr>
            <w:rStyle w:val="Hipervnculo"/>
            <w:rFonts w:ascii="Bookman Old Style" w:hAnsi="Bookman Old Style" w:cs="Times New Roman"/>
            <w:sz w:val="20"/>
          </w:rPr>
          <w:t>http://www.yucatan.gob.mx/gobierno/diario_oficial.php</w:t>
        </w:r>
      </w:hyperlink>
      <w:r w:rsidRPr="00796C47">
        <w:rPr>
          <w:rFonts w:ascii="Bookman Old Style" w:hAnsi="Bookman Old Style" w:cs="Times New Roman"/>
          <w:sz w:val="20"/>
        </w:rPr>
        <w:t xml:space="preserve">) </w:t>
      </w:r>
    </w:p>
    <w:p w:rsidR="00345209" w:rsidRPr="00796C47" w:rsidRDefault="00345209" w:rsidP="00345209">
      <w:pPr>
        <w:pStyle w:val="Sinespaciado"/>
        <w:spacing w:line="480" w:lineRule="auto"/>
        <w:jc w:val="both"/>
        <w:rPr>
          <w:rFonts w:ascii="Bookman Old Style" w:hAnsi="Bookman Old Style" w:cs="Times New Roman"/>
        </w:rPr>
      </w:pPr>
    </w:p>
    <w:p w:rsidR="00ED15FC" w:rsidRDefault="006F608D"/>
    <w:sectPr w:rsidR="00ED15FC" w:rsidSect="0026422B">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08D" w:rsidRDefault="006F608D" w:rsidP="00345209">
      <w:r>
        <w:separator/>
      </w:r>
    </w:p>
  </w:endnote>
  <w:endnote w:type="continuationSeparator" w:id="0">
    <w:p w:rsidR="006F608D" w:rsidRDefault="006F608D" w:rsidP="0034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08D" w:rsidRDefault="006F608D" w:rsidP="00345209">
      <w:r>
        <w:separator/>
      </w:r>
    </w:p>
  </w:footnote>
  <w:footnote w:type="continuationSeparator" w:id="0">
    <w:p w:rsidR="006F608D" w:rsidRDefault="006F608D" w:rsidP="00345209">
      <w:r>
        <w:continuationSeparator/>
      </w:r>
    </w:p>
  </w:footnote>
  <w:footnote w:id="1">
    <w:p w:rsidR="00345209" w:rsidRPr="00982754" w:rsidRDefault="00345209" w:rsidP="00345209">
      <w:pPr>
        <w:pStyle w:val="Textonotapie"/>
        <w:jc w:val="both"/>
      </w:pPr>
      <w:r>
        <w:rPr>
          <w:rStyle w:val="Refdenotaalpie"/>
        </w:rPr>
        <w:footnoteRef/>
      </w:r>
      <w:r>
        <w:t xml:space="preserve"> </w:t>
      </w:r>
      <w:r w:rsidRPr="00B530C1">
        <w:rPr>
          <w:sz w:val="18"/>
        </w:rPr>
        <w:t>Por personas: hasta 24 latas, “cuartitas” o “medias”; hasta 9 “caguamas”; y hasta 7 “misiles”; hasta 1 botella de 1,250 mililitros de vinos o licores. En su artículo 3, sobre la Entrega y Recepción, el decreto 226/2020 señala que la entrega, a cargo únicamente de diligencieros (del expendio y/o de plataformas, debidamente identificados) será sólo a mayores de edad con identificación, y queda “prohibido entregar bebidas alcohólicas a personas en visible estado de ebriedad”.</w:t>
      </w:r>
    </w:p>
  </w:footnote>
  <w:footnote w:id="2">
    <w:p w:rsidR="00345209" w:rsidRPr="00B530C1" w:rsidRDefault="00345209" w:rsidP="00345209">
      <w:pPr>
        <w:pStyle w:val="Textonotapie"/>
        <w:jc w:val="both"/>
        <w:rPr>
          <w:sz w:val="18"/>
          <w:lang w:val="es-MX"/>
        </w:rPr>
      </w:pPr>
      <w:r>
        <w:rPr>
          <w:rStyle w:val="Refdenotaalpie"/>
        </w:rPr>
        <w:footnoteRef/>
      </w:r>
      <w:r>
        <w:t xml:space="preserve"> </w:t>
      </w:r>
      <w:r w:rsidRPr="00B530C1">
        <w:rPr>
          <w:sz w:val="18"/>
          <w:lang w:val="es-MX"/>
        </w:rPr>
        <w:t>A partir del 29 de junio se “normalizó” la venta de bebidas alcohólicas en establecimientos que expendan para su consumo en otro lugar, no así en lugares para consumo en el mismo lugar.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51D03"/>
    <w:multiLevelType w:val="hybridMultilevel"/>
    <w:tmpl w:val="6952D760"/>
    <w:lvl w:ilvl="0" w:tplc="089EEA2E">
      <w:numFmt w:val="bullet"/>
      <w:lvlText w:val=""/>
      <w:lvlJc w:val="left"/>
      <w:pPr>
        <w:ind w:left="360" w:hanging="360"/>
      </w:pPr>
      <w:rPr>
        <w:rFonts w:ascii="Symbol" w:eastAsiaTheme="minorHAnsi" w:hAnsi="Symbol"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B0"/>
    <w:rsid w:val="000E3E2F"/>
    <w:rsid w:val="0026422B"/>
    <w:rsid w:val="002B2352"/>
    <w:rsid w:val="00345209"/>
    <w:rsid w:val="00391EE3"/>
    <w:rsid w:val="00447F46"/>
    <w:rsid w:val="0047269D"/>
    <w:rsid w:val="006E2094"/>
    <w:rsid w:val="006F608D"/>
    <w:rsid w:val="00750769"/>
    <w:rsid w:val="008D643C"/>
    <w:rsid w:val="00941ECA"/>
    <w:rsid w:val="00A56082"/>
    <w:rsid w:val="00BB1AB0"/>
    <w:rsid w:val="00C40366"/>
    <w:rsid w:val="00E661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209"/>
    <w:pPr>
      <w:spacing w:after="0" w:line="240" w:lineRule="auto"/>
    </w:pPr>
    <w:rPr>
      <w:rFonts w:ascii="Calibri" w:eastAsia="Times New Roman" w:hAnsi="Calibri"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45209"/>
    <w:pPr>
      <w:spacing w:after="0" w:line="240" w:lineRule="auto"/>
    </w:pPr>
  </w:style>
  <w:style w:type="paragraph" w:styleId="Textonotapie">
    <w:name w:val="footnote text"/>
    <w:basedOn w:val="Normal"/>
    <w:link w:val="TextonotapieCar"/>
    <w:uiPriority w:val="99"/>
    <w:semiHidden/>
    <w:unhideWhenUsed/>
    <w:rsid w:val="00345209"/>
    <w:rPr>
      <w:sz w:val="20"/>
      <w:szCs w:val="20"/>
    </w:rPr>
  </w:style>
  <w:style w:type="character" w:customStyle="1" w:styleId="TextonotapieCar">
    <w:name w:val="Texto nota pie Car"/>
    <w:basedOn w:val="Fuentedeprrafopredeter"/>
    <w:link w:val="Textonotapie"/>
    <w:uiPriority w:val="99"/>
    <w:semiHidden/>
    <w:rsid w:val="00345209"/>
    <w:rPr>
      <w:rFonts w:ascii="Calibri" w:eastAsia="Times New Roman" w:hAnsi="Calibri" w:cs="Times New Roman"/>
      <w:sz w:val="20"/>
      <w:szCs w:val="20"/>
      <w:lang w:val="es-ES_tradnl" w:eastAsia="es-ES"/>
    </w:rPr>
  </w:style>
  <w:style w:type="character" w:styleId="Refdenotaalpie">
    <w:name w:val="footnote reference"/>
    <w:basedOn w:val="Fuentedeprrafopredeter"/>
    <w:uiPriority w:val="99"/>
    <w:semiHidden/>
    <w:unhideWhenUsed/>
    <w:rsid w:val="00345209"/>
    <w:rPr>
      <w:vertAlign w:val="superscript"/>
    </w:rPr>
  </w:style>
  <w:style w:type="character" w:styleId="Hipervnculo">
    <w:name w:val="Hyperlink"/>
    <w:basedOn w:val="Fuentedeprrafopredeter"/>
    <w:uiPriority w:val="99"/>
    <w:unhideWhenUsed/>
    <w:rsid w:val="00345209"/>
    <w:rPr>
      <w:color w:val="0000FF" w:themeColor="hyperlink"/>
      <w:u w:val="single"/>
    </w:rPr>
  </w:style>
  <w:style w:type="paragraph" w:styleId="Prrafodelista">
    <w:name w:val="List Paragraph"/>
    <w:basedOn w:val="Normal"/>
    <w:uiPriority w:val="34"/>
    <w:qFormat/>
    <w:rsid w:val="00345209"/>
    <w:pPr>
      <w:ind w:left="720"/>
      <w:contextualSpacing/>
    </w:pPr>
  </w:style>
  <w:style w:type="table" w:styleId="Sombreadoclaro">
    <w:name w:val="Light Shading"/>
    <w:basedOn w:val="Tablanormal"/>
    <w:uiPriority w:val="60"/>
    <w:rsid w:val="003452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209"/>
    <w:pPr>
      <w:spacing w:after="0" w:line="240" w:lineRule="auto"/>
    </w:pPr>
    <w:rPr>
      <w:rFonts w:ascii="Calibri" w:eastAsia="Times New Roman" w:hAnsi="Calibri"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45209"/>
    <w:pPr>
      <w:spacing w:after="0" w:line="240" w:lineRule="auto"/>
    </w:pPr>
  </w:style>
  <w:style w:type="paragraph" w:styleId="Textonotapie">
    <w:name w:val="footnote text"/>
    <w:basedOn w:val="Normal"/>
    <w:link w:val="TextonotapieCar"/>
    <w:uiPriority w:val="99"/>
    <w:semiHidden/>
    <w:unhideWhenUsed/>
    <w:rsid w:val="00345209"/>
    <w:rPr>
      <w:sz w:val="20"/>
      <w:szCs w:val="20"/>
    </w:rPr>
  </w:style>
  <w:style w:type="character" w:customStyle="1" w:styleId="TextonotapieCar">
    <w:name w:val="Texto nota pie Car"/>
    <w:basedOn w:val="Fuentedeprrafopredeter"/>
    <w:link w:val="Textonotapie"/>
    <w:uiPriority w:val="99"/>
    <w:semiHidden/>
    <w:rsid w:val="00345209"/>
    <w:rPr>
      <w:rFonts w:ascii="Calibri" w:eastAsia="Times New Roman" w:hAnsi="Calibri" w:cs="Times New Roman"/>
      <w:sz w:val="20"/>
      <w:szCs w:val="20"/>
      <w:lang w:val="es-ES_tradnl" w:eastAsia="es-ES"/>
    </w:rPr>
  </w:style>
  <w:style w:type="character" w:styleId="Refdenotaalpie">
    <w:name w:val="footnote reference"/>
    <w:basedOn w:val="Fuentedeprrafopredeter"/>
    <w:uiPriority w:val="99"/>
    <w:semiHidden/>
    <w:unhideWhenUsed/>
    <w:rsid w:val="00345209"/>
    <w:rPr>
      <w:vertAlign w:val="superscript"/>
    </w:rPr>
  </w:style>
  <w:style w:type="character" w:styleId="Hipervnculo">
    <w:name w:val="Hyperlink"/>
    <w:basedOn w:val="Fuentedeprrafopredeter"/>
    <w:uiPriority w:val="99"/>
    <w:unhideWhenUsed/>
    <w:rsid w:val="00345209"/>
    <w:rPr>
      <w:color w:val="0000FF" w:themeColor="hyperlink"/>
      <w:u w:val="single"/>
    </w:rPr>
  </w:style>
  <w:style w:type="paragraph" w:styleId="Prrafodelista">
    <w:name w:val="List Paragraph"/>
    <w:basedOn w:val="Normal"/>
    <w:uiPriority w:val="34"/>
    <w:qFormat/>
    <w:rsid w:val="00345209"/>
    <w:pPr>
      <w:ind w:left="720"/>
      <w:contextualSpacing/>
    </w:pPr>
  </w:style>
  <w:style w:type="table" w:styleId="Sombreadoclaro">
    <w:name w:val="Light Shading"/>
    <w:basedOn w:val="Tablanormal"/>
    <w:uiPriority w:val="60"/>
    <w:rsid w:val="003452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ucatan.gob.mx/gobierno/diario_oficial.ph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639</Words>
  <Characters>3519</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Moreno</dc:creator>
  <cp:keywords/>
  <dc:description/>
  <cp:lastModifiedBy>Sergio Moreno</cp:lastModifiedBy>
  <cp:revision>8</cp:revision>
  <dcterms:created xsi:type="dcterms:W3CDTF">2020-09-21T23:20:00Z</dcterms:created>
  <dcterms:modified xsi:type="dcterms:W3CDTF">2020-09-21T23:32:00Z</dcterms:modified>
</cp:coreProperties>
</file>